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0" w:rsidRPr="004D2204" w:rsidRDefault="00D52EF0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D22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ПРОЕКТ</w:t>
      </w:r>
    </w:p>
    <w:p w:rsidR="00D52EF0" w:rsidRDefault="00D52EF0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30F4" w:rsidRDefault="004D2204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75A7288D" wp14:editId="28CBA1C9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F4" w:rsidRDefault="00B530F4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30F4" w:rsidRDefault="00B530F4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A2F" w:rsidRPr="00D87A2F" w:rsidRDefault="00D87A2F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 –</w:t>
      </w:r>
      <w:r w:rsidR="004D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ДУБОВСКИЙ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Default="00D87A2F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B530F4" w:rsidRPr="00D87A2F" w:rsidRDefault="00B530F4" w:rsidP="00D87A2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A2F" w:rsidRPr="00D87A2F" w:rsidRDefault="00B530F4" w:rsidP="00B530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D52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D87A2F"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D87A2F"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-Дубовое 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Правила благоустройства территории сельского поселения </w:t>
      </w:r>
      <w:r w:rsidR="00B530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Изменений в Правила благ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оустройства территории сельского 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 Российской Федерации, утвержденные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Совета депутатов сельского 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58F" w:rsidRPr="002F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</w:t>
      </w:r>
      <w:r w:rsidR="00A325E4" w:rsidRPr="002F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 декабря 2021 года №46</w:t>
      </w:r>
      <w:r w:rsidR="001D158F" w:rsidRPr="002F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реализации муниципальной программы «Формирование современной городской среды сельского поселений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07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утвержденной постановлением администрации сельского 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proofErr w:type="gramEnd"/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2F4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октября 2017 года №102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Приказом Минстроя России от 29 декабря 2021 года №1042/</w:t>
      </w:r>
      <w:proofErr w:type="spellStart"/>
      <w:proofErr w:type="gramStart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сельского поселения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C7B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Принять Изменения в Правила благоустройства территории сельского 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2F4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декабря 2021 года №46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(прилагаются).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вышеуказанный нормативный правовой акт главе сельского поселения для подписания и 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публикования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0F4" w:rsidRDefault="00D87A2F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</w:t>
      </w:r>
    </w:p>
    <w:p w:rsidR="00D87A2F" w:rsidRPr="00D87A2F" w:rsidRDefault="00D87A2F" w:rsidP="00B530F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 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С.А.Болотов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530F4" w:rsidRDefault="00B530F4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30F4" w:rsidRPr="00D87A2F" w:rsidRDefault="00B530F4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A2F" w:rsidRPr="00D87A2F" w:rsidRDefault="00D87A2F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 сельского  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 от 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года №___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ПРАВИЛА БЛАГОУСТРОЙСТВА ТЕРРИТОРИИ СЕЛЬСКОГО ПОСЕЛЕНИЯ </w:t>
      </w:r>
      <w:r w:rsidR="00B530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НОВО-ДУБОВСКИЙ </w:t>
      </w:r>
      <w:r w:rsidRPr="00D87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СЕЛЬСОВЕТ ХЛЕВЕНСКОГО МУНИЦИПАЛЬНОГО РАЙОНА</w:t>
      </w:r>
    </w:p>
    <w:p w:rsidR="00D87A2F" w:rsidRPr="00D87A2F" w:rsidRDefault="00D87A2F" w:rsidP="00D87A2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ЛИПЕЦКОЙ ОБЛАСТИ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Правила благоустройства </w:t>
      </w:r>
      <w:r w:rsidR="00434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сельского 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B5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r w:rsidR="00434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F448B" w:rsidRPr="002F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 декабря 2021 года №46</w:t>
      </w:r>
      <w:r w:rsidR="00070876" w:rsidRPr="002F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6A2F12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F12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Пункт 27 Статьи 2 Правил изложить в следующей редакции:</w:t>
      </w:r>
    </w:p>
    <w:p w:rsidR="006A2F12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F12" w:rsidRPr="00096CE3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96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асти благоустройства территории: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внешние поверхности зданий, строени</w:t>
      </w:r>
      <w:bookmarkStart w:id="0" w:name="_GoBack"/>
      <w:bookmarkEnd w:id="0"/>
      <w:r w:rsidRPr="006A2F12">
        <w:rPr>
          <w:rFonts w:ascii="Arial" w:hAnsi="Arial" w:cs="Arial"/>
          <w:sz w:val="24"/>
          <w:szCs w:val="24"/>
        </w:rPr>
        <w:t>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6A2F12">
        <w:rPr>
          <w:rFonts w:ascii="Arial" w:hAnsi="Arial" w:cs="Arial"/>
          <w:sz w:val="24"/>
          <w:szCs w:val="24"/>
        </w:rPr>
        <w:t>экоплитки</w:t>
      </w:r>
      <w:proofErr w:type="spellEnd"/>
      <w:r w:rsidRPr="006A2F12">
        <w:rPr>
          <w:rFonts w:ascii="Arial" w:hAnsi="Arial" w:cs="Arial"/>
          <w:sz w:val="24"/>
          <w:szCs w:val="24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сборные искусственные неровности, сборные шумовые полосы;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lastRenderedPageBreak/>
        <w:t xml:space="preserve">- элементы сохранения и защиты корневой системы элементов озеленения (в том числе </w:t>
      </w:r>
      <w:proofErr w:type="spellStart"/>
      <w:r w:rsidRPr="006A2F12">
        <w:rPr>
          <w:rFonts w:ascii="Arial" w:hAnsi="Arial" w:cs="Arial"/>
          <w:sz w:val="24"/>
          <w:szCs w:val="24"/>
        </w:rPr>
        <w:t>прикопы</w:t>
      </w:r>
      <w:proofErr w:type="spellEnd"/>
      <w:r w:rsidRPr="006A2F12">
        <w:rPr>
          <w:rFonts w:ascii="Arial" w:hAnsi="Arial" w:cs="Arial"/>
          <w:sz w:val="24"/>
          <w:szCs w:val="24"/>
        </w:rPr>
        <w:t>, приствольные лунки, приствольные решетки, защитные приствольные ограждения);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ограждения, ограждающие устройства, ограждающие элементы, придорожные экраны;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въездные группы;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водные устройства (в том числе питьевые фонтанчики, фонтаны, искусственные декоративные водопады);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плавучие домики для птиц, скворечники, кормушки, голубятни;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остановочные павильоны;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сезонные (летние) кафе;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городская мебель;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рекламные конструкции;</w:t>
      </w:r>
    </w:p>
    <w:p w:rsid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праздничное оформление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3 статьи 10</w:t>
      </w:r>
      <w:r w:rsidR="00C53D0B">
        <w:rPr>
          <w:rFonts w:ascii="Arial" w:hAnsi="Arial" w:cs="Arial"/>
          <w:sz w:val="24"/>
          <w:szCs w:val="24"/>
        </w:rPr>
        <w:t xml:space="preserve"> Правил</w:t>
      </w:r>
      <w:r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33C77">
        <w:rPr>
          <w:rFonts w:ascii="Arial" w:hAnsi="Arial" w:cs="Arial"/>
          <w:sz w:val="24"/>
          <w:szCs w:val="24"/>
        </w:rPr>
        <w:t xml:space="preserve">С учетом общественного мнения, на сложившихся пешеходных маршрутах </w:t>
      </w:r>
      <w:r>
        <w:rPr>
          <w:rFonts w:ascii="Arial" w:hAnsi="Arial" w:cs="Arial"/>
          <w:sz w:val="24"/>
          <w:szCs w:val="24"/>
        </w:rPr>
        <w:t>необходимо</w:t>
      </w:r>
      <w:r w:rsidRPr="00D33C77">
        <w:rPr>
          <w:rFonts w:ascii="Arial" w:hAnsi="Arial" w:cs="Arial"/>
          <w:sz w:val="24"/>
          <w:szCs w:val="24"/>
        </w:rPr>
        <w:t xml:space="preserve">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</w:t>
      </w:r>
      <w:proofErr w:type="gramStart"/>
      <w:r w:rsidRPr="00D33C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Статью 15 </w:t>
      </w:r>
      <w:r w:rsidR="00C53D0B">
        <w:rPr>
          <w:rFonts w:ascii="Arial" w:hAnsi="Arial" w:cs="Arial"/>
          <w:sz w:val="24"/>
          <w:szCs w:val="24"/>
        </w:rPr>
        <w:t xml:space="preserve">Правил </w:t>
      </w:r>
      <w:r>
        <w:rPr>
          <w:rFonts w:ascii="Arial" w:hAnsi="Arial" w:cs="Arial"/>
          <w:sz w:val="24"/>
          <w:szCs w:val="24"/>
        </w:rPr>
        <w:t>дополнить пунктом 5 следующего содержания: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B0F7D">
        <w:rPr>
          <w:rFonts w:ascii="Arial" w:hAnsi="Arial" w:cs="Arial"/>
          <w:sz w:val="24"/>
          <w:szCs w:val="24"/>
        </w:rPr>
        <w:t>5. В перечень видов работ по содержанию прилегающих</w:t>
      </w:r>
      <w:r>
        <w:rPr>
          <w:rFonts w:ascii="Arial" w:hAnsi="Arial" w:cs="Arial"/>
          <w:sz w:val="24"/>
          <w:szCs w:val="24"/>
        </w:rPr>
        <w:t xml:space="preserve"> территорий</w:t>
      </w:r>
      <w:r w:rsidRPr="008B0F7D">
        <w:rPr>
          <w:rFonts w:ascii="Arial" w:hAnsi="Arial" w:cs="Arial"/>
          <w:sz w:val="24"/>
          <w:szCs w:val="24"/>
        </w:rPr>
        <w:t xml:space="preserve"> необходимо включать: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B0F7D">
        <w:rPr>
          <w:rFonts w:ascii="Arial" w:hAnsi="Arial" w:cs="Arial"/>
          <w:sz w:val="24"/>
          <w:szCs w:val="24"/>
        </w:rPr>
        <w:t>а) содержание покрытия прилегающей территории в летний и зимний периоды, в том числе:</w:t>
      </w:r>
      <w:proofErr w:type="gramEnd"/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очистку и подметание прилегающей территории;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мойку прилегающей территории;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 xml:space="preserve">посыпку и обработку прилегающей территории </w:t>
      </w:r>
      <w:proofErr w:type="spellStart"/>
      <w:r w:rsidRPr="008B0F7D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8B0F7D">
        <w:rPr>
          <w:rFonts w:ascii="Arial" w:hAnsi="Arial" w:cs="Arial"/>
          <w:sz w:val="24"/>
          <w:szCs w:val="24"/>
        </w:rPr>
        <w:t xml:space="preserve"> средствами;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укладку свежевыпавшего снега в валы или кучи;</w:t>
      </w:r>
    </w:p>
    <w:p w:rsidR="008E686A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текущий ремонт;</w:t>
      </w:r>
    </w:p>
    <w:p w:rsidR="00895AFA" w:rsidRPr="008B0F7D" w:rsidRDefault="00895AF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б) содержание газонов, в том числе: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прочесывание поверхности железными граблями;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покос травостоя;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сгребание и уборку скошенной травы и листвы;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очистку от мусора;</w:t>
      </w:r>
    </w:p>
    <w:p w:rsidR="008E686A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полив;</w:t>
      </w:r>
    </w:p>
    <w:p w:rsidR="00895AFA" w:rsidRPr="008B0F7D" w:rsidRDefault="00895AF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в) содержание деревьев и кустарников, в том числе: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обрезку сухих сучьев и мелкой суши;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сбор срезанных ветвей;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прополку и рыхление приствольных лунок;</w:t>
      </w:r>
    </w:p>
    <w:p w:rsidR="008E686A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полив в приствольные лунки;</w:t>
      </w:r>
    </w:p>
    <w:p w:rsidR="00895AFA" w:rsidRPr="008B0F7D" w:rsidRDefault="00895AF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4) содержание иных элементов благоустройства, в том числе по видам работ: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очистку;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текущий ремонт</w:t>
      </w:r>
      <w:proofErr w:type="gramStart"/>
      <w:r w:rsidRPr="008B0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E686A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E686A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2 статьи 17</w:t>
      </w:r>
      <w:r w:rsidR="00C53D0B">
        <w:rPr>
          <w:rFonts w:ascii="Arial" w:hAnsi="Arial" w:cs="Arial"/>
          <w:sz w:val="24"/>
          <w:szCs w:val="24"/>
        </w:rPr>
        <w:t xml:space="preserve"> Правил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Pr="008B0F7D">
        <w:rPr>
          <w:rFonts w:ascii="Arial" w:hAnsi="Arial" w:cs="Arial"/>
          <w:sz w:val="24"/>
          <w:szCs w:val="24"/>
        </w:rPr>
        <w:t xml:space="preserve">В перечень объектов праздничного оформления </w:t>
      </w:r>
      <w:r>
        <w:rPr>
          <w:rFonts w:ascii="Arial" w:hAnsi="Arial" w:cs="Arial"/>
          <w:sz w:val="24"/>
          <w:szCs w:val="24"/>
        </w:rPr>
        <w:t>входят</w:t>
      </w:r>
      <w:r w:rsidRPr="008B0F7D">
        <w:rPr>
          <w:rFonts w:ascii="Arial" w:hAnsi="Arial" w:cs="Arial"/>
          <w:sz w:val="24"/>
          <w:szCs w:val="24"/>
        </w:rPr>
        <w:t>: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а) площади, улицы, бульвары, мостовые сооружения, магистрали;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б) места массовых гуляний, парки, скверы, набережные;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в) фасады зданий;</w:t>
      </w:r>
    </w:p>
    <w:p w:rsidR="008E686A" w:rsidRPr="008B0F7D" w:rsidRDefault="008E686A" w:rsidP="00895AFA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К элементам праздничного оформления относ</w:t>
      </w:r>
      <w:r>
        <w:rPr>
          <w:rFonts w:ascii="Arial" w:hAnsi="Arial" w:cs="Arial"/>
          <w:sz w:val="24"/>
          <w:szCs w:val="24"/>
        </w:rPr>
        <w:t>ятся</w:t>
      </w:r>
      <w:r w:rsidRPr="008B0F7D">
        <w:rPr>
          <w:rFonts w:ascii="Arial" w:hAnsi="Arial" w:cs="Arial"/>
          <w:sz w:val="24"/>
          <w:szCs w:val="24"/>
        </w:rPr>
        <w:t>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праздничная подсветка фасадов зданий;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иллюминационные гирлянды и кронштейны;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подсветка зеленых насаждений;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праздничное и тематическое оформление пассажирского транспорта;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декоративные флаги, флажки, стяги;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информационные и тематические материалы на рекламных конструкциях;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</w:t>
      </w:r>
      <w:proofErr w:type="gramStart"/>
      <w:r w:rsidRPr="008B0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</w:p>
    <w:p w:rsidR="007A4A31" w:rsidRDefault="008E686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7A4A31">
        <w:rPr>
          <w:rFonts w:ascii="Arial" w:hAnsi="Arial" w:cs="Arial"/>
          <w:sz w:val="24"/>
          <w:szCs w:val="24"/>
        </w:rPr>
        <w:t xml:space="preserve">. </w:t>
      </w:r>
      <w:r w:rsidR="008B0F7D">
        <w:rPr>
          <w:rFonts w:ascii="Arial" w:hAnsi="Arial" w:cs="Arial"/>
          <w:sz w:val="24"/>
          <w:szCs w:val="24"/>
        </w:rPr>
        <w:t>С</w:t>
      </w:r>
      <w:r w:rsidR="007A4A31">
        <w:rPr>
          <w:rFonts w:ascii="Arial" w:hAnsi="Arial" w:cs="Arial"/>
          <w:sz w:val="24"/>
          <w:szCs w:val="24"/>
        </w:rPr>
        <w:t xml:space="preserve">татью 18 Правил </w:t>
      </w:r>
      <w:r w:rsidR="008B0F7D">
        <w:rPr>
          <w:rFonts w:ascii="Arial" w:hAnsi="Arial" w:cs="Arial"/>
          <w:sz w:val="24"/>
          <w:szCs w:val="24"/>
        </w:rPr>
        <w:t xml:space="preserve">дополнить </w:t>
      </w:r>
      <w:r w:rsidR="007A4A31">
        <w:rPr>
          <w:rFonts w:ascii="Arial" w:hAnsi="Arial" w:cs="Arial"/>
          <w:sz w:val="24"/>
          <w:szCs w:val="24"/>
        </w:rPr>
        <w:t>пунктом 5 следующего содержания:</w:t>
      </w: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участвовать в подготовке и реализации проектов по благоустройству территорий могут следующие группы лиц:</w:t>
      </w:r>
    </w:p>
    <w:p w:rsidR="00895AFA" w:rsidRDefault="00895AF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895AFA" w:rsidRPr="004947B8" w:rsidRDefault="00895AF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895AFA" w:rsidRPr="004947B8" w:rsidRDefault="00895AF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</w:t>
      </w: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формирования позитивного имиджа муниципального образования и его туристской и инвестиционной привлекательности;</w:t>
      </w:r>
    </w:p>
    <w:p w:rsidR="00895AFA" w:rsidRPr="004947B8" w:rsidRDefault="00895AF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представители профессионального сообщества, в том числе эксперты в сфере градостроительства, архитектуры, </w:t>
      </w:r>
      <w:proofErr w:type="spellStart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урбанистики</w:t>
      </w:r>
      <w:proofErr w:type="spellEnd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895AFA" w:rsidRPr="004947B8" w:rsidRDefault="00895AF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региональные центры компетенций;</w:t>
      </w:r>
    </w:p>
    <w:p w:rsidR="00895AFA" w:rsidRPr="004947B8" w:rsidRDefault="00895AF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иные лица</w:t>
      </w:r>
      <w:proofErr w:type="gramStart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443" w:rsidRDefault="00B02443" w:rsidP="00895AFA">
      <w:pPr>
        <w:shd w:val="clear" w:color="auto" w:fill="FFFFFF"/>
        <w:spacing w:before="240"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68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8B0F7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татью 18 Правил </w:t>
      </w:r>
      <w:r w:rsidR="008B0F7D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>пунктом 6 следующего содержания:</w:t>
      </w:r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02443">
        <w:rPr>
          <w:rFonts w:ascii="Arial" w:hAnsi="Arial" w:cs="Arial"/>
          <w:sz w:val="24"/>
          <w:szCs w:val="24"/>
        </w:rPr>
        <w:t xml:space="preserve">6. При реализации проектов благоустройства территорий муниципальных образований </w:t>
      </w:r>
      <w:r w:rsidR="001E7036">
        <w:rPr>
          <w:rFonts w:ascii="Arial" w:hAnsi="Arial" w:cs="Arial"/>
          <w:sz w:val="24"/>
          <w:szCs w:val="24"/>
        </w:rPr>
        <w:t xml:space="preserve">необходимо </w:t>
      </w:r>
      <w:r w:rsidRPr="00B02443">
        <w:rPr>
          <w:rFonts w:ascii="Arial" w:hAnsi="Arial" w:cs="Arial"/>
          <w:sz w:val="24"/>
          <w:szCs w:val="24"/>
        </w:rPr>
        <w:t>обеспечивать:</w:t>
      </w:r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 xml:space="preserve">б) взаимосвязь пространств муниципального образования, доступность объектов инфраструктуры для детей и </w:t>
      </w:r>
      <w:r w:rsidR="00AE6893">
        <w:rPr>
          <w:rFonts w:ascii="Arial" w:hAnsi="Arial" w:cs="Arial"/>
          <w:sz w:val="24"/>
          <w:szCs w:val="24"/>
        </w:rPr>
        <w:t>маломобильных групп населения</w:t>
      </w:r>
      <w:r w:rsidRPr="00B02443">
        <w:rPr>
          <w:rFonts w:ascii="Arial" w:hAnsi="Arial" w:cs="Arial"/>
          <w:sz w:val="24"/>
          <w:szCs w:val="24"/>
        </w:rPr>
        <w:t>, в том числе за счет ликвидации необоснованных барьеров и препятствий;</w:t>
      </w:r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 xml:space="preserve">в) создание комфортных пешеходных и велосипедных коммуникаций среды, в том числе путем создания в муниципальном образовании условий для безопасных и удобных пешеходных и велосипедных прогулок. Рекомендуется обеспечить доступность пешеходных прогулок для различных категорий граждан, в том числе для </w:t>
      </w:r>
      <w:r w:rsidR="00AE6893">
        <w:rPr>
          <w:rFonts w:ascii="Arial" w:hAnsi="Arial" w:cs="Arial"/>
          <w:sz w:val="24"/>
          <w:szCs w:val="24"/>
        </w:rPr>
        <w:t>маломобильных групп населения</w:t>
      </w:r>
      <w:r w:rsidRPr="00B02443">
        <w:rPr>
          <w:rFonts w:ascii="Arial" w:hAnsi="Arial" w:cs="Arial"/>
          <w:sz w:val="24"/>
          <w:szCs w:val="24"/>
        </w:rPr>
        <w:t>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02443">
        <w:rPr>
          <w:rFonts w:ascii="Arial" w:hAnsi="Arial" w:cs="Arial"/>
          <w:sz w:val="24"/>
          <w:szCs w:val="24"/>
        </w:rP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lastRenderedPageBreak/>
        <w:t xml:space="preserve">е) шаговую доступность к объектам детской игровой и спортивной инфраструктуры для детей и подростков, в том числе относящихся к </w:t>
      </w:r>
      <w:r w:rsidR="00AE6893">
        <w:rPr>
          <w:rFonts w:ascii="Arial" w:hAnsi="Arial" w:cs="Arial"/>
          <w:sz w:val="24"/>
          <w:szCs w:val="24"/>
        </w:rPr>
        <w:t>маломобильных групп населения</w:t>
      </w:r>
      <w:r w:rsidRPr="00B02443">
        <w:rPr>
          <w:rFonts w:ascii="Arial" w:hAnsi="Arial" w:cs="Arial"/>
          <w:sz w:val="24"/>
          <w:szCs w:val="24"/>
        </w:rPr>
        <w:t>;</w:t>
      </w:r>
    </w:p>
    <w:p w:rsidR="00B02443" w:rsidRPr="00B02443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B02443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B02443">
        <w:rPr>
          <w:rFonts w:ascii="Arial" w:hAnsi="Arial" w:cs="Arial"/>
          <w:sz w:val="24"/>
          <w:szCs w:val="24"/>
        </w:rPr>
        <w:t xml:space="preserve"> эффективных архитектурно-планировочных приемов;</w:t>
      </w:r>
    </w:p>
    <w:p w:rsidR="007A4A31" w:rsidRPr="006A2F12" w:rsidRDefault="00B0244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>з) безопасность и порядок, в том числе путем организации системы освещения и видеонаблюдения</w:t>
      </w:r>
      <w:proofErr w:type="gramStart"/>
      <w:r w:rsidRPr="00B024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D87A2F" w:rsidRPr="00D87A2F" w:rsidRDefault="00D87A2F" w:rsidP="00895AFA">
      <w:pPr>
        <w:shd w:val="clear" w:color="auto" w:fill="FFFFFF"/>
        <w:spacing w:before="240"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Default="00D87A2F" w:rsidP="00895AFA">
      <w:pPr>
        <w:shd w:val="clear" w:color="auto" w:fill="FFFFFF"/>
        <w:spacing w:before="240"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E6893">
        <w:rPr>
          <w:rFonts w:ascii="Arial" w:hAnsi="Arial" w:cs="Arial"/>
          <w:sz w:val="24"/>
          <w:szCs w:val="24"/>
        </w:rPr>
        <w:t>1.</w:t>
      </w:r>
      <w:r w:rsidR="008E686A">
        <w:rPr>
          <w:rFonts w:ascii="Arial" w:hAnsi="Arial" w:cs="Arial"/>
          <w:sz w:val="24"/>
          <w:szCs w:val="24"/>
        </w:rPr>
        <w:t>7</w:t>
      </w:r>
      <w:r w:rsidR="00AE6893">
        <w:rPr>
          <w:rFonts w:ascii="Arial" w:hAnsi="Arial" w:cs="Arial"/>
          <w:sz w:val="24"/>
          <w:szCs w:val="24"/>
        </w:rPr>
        <w:t xml:space="preserve">. </w:t>
      </w:r>
      <w:r w:rsidR="008B0F7D">
        <w:rPr>
          <w:rFonts w:ascii="Arial" w:hAnsi="Arial" w:cs="Arial"/>
          <w:sz w:val="24"/>
          <w:szCs w:val="24"/>
        </w:rPr>
        <w:t>Ста</w:t>
      </w:r>
      <w:r w:rsidR="00AE6893">
        <w:rPr>
          <w:rFonts w:ascii="Arial" w:hAnsi="Arial" w:cs="Arial"/>
          <w:sz w:val="24"/>
          <w:szCs w:val="24"/>
        </w:rPr>
        <w:t>тью 18 Правил</w:t>
      </w:r>
      <w:r w:rsidR="008B0F7D">
        <w:rPr>
          <w:rFonts w:ascii="Arial" w:hAnsi="Arial" w:cs="Arial"/>
          <w:sz w:val="24"/>
          <w:szCs w:val="24"/>
        </w:rPr>
        <w:t xml:space="preserve"> дополнить </w:t>
      </w:r>
      <w:r w:rsidR="00AE6893">
        <w:rPr>
          <w:rFonts w:ascii="Arial" w:hAnsi="Arial" w:cs="Arial"/>
          <w:sz w:val="24"/>
          <w:szCs w:val="24"/>
        </w:rPr>
        <w:t xml:space="preserve"> пунктом 7 следующего содержания:</w:t>
      </w:r>
    </w:p>
    <w:p w:rsidR="00AE6893" w:rsidRPr="00AE6893" w:rsidRDefault="00AE6893" w:rsidP="00895AFA">
      <w:pPr>
        <w:spacing w:before="24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 </w:t>
      </w:r>
      <w:r w:rsidRPr="00AE6893">
        <w:rPr>
          <w:rFonts w:ascii="Arial" w:hAnsi="Arial" w:cs="Arial"/>
          <w:sz w:val="24"/>
          <w:szCs w:val="24"/>
        </w:rPr>
        <w:t>Для реализации рекомендуется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AE6893" w:rsidRDefault="00AE6893" w:rsidP="00AE689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E6893">
        <w:rPr>
          <w:rFonts w:ascii="Arial" w:hAnsi="Arial" w:cs="Arial"/>
          <w:sz w:val="24"/>
          <w:szCs w:val="24"/>
        </w:rPr>
        <w:t xml:space="preserve">При этом рекомендуется учитывать </w:t>
      </w:r>
      <w:proofErr w:type="spellStart"/>
      <w:r w:rsidRPr="00AE6893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AE6893">
        <w:rPr>
          <w:rFonts w:ascii="Arial" w:hAnsi="Arial" w:cs="Arial"/>
          <w:sz w:val="24"/>
          <w:szCs w:val="24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</w:t>
      </w:r>
      <w:proofErr w:type="gramStart"/>
      <w:r w:rsidRPr="00AE68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D33C77" w:rsidRPr="00AE6893" w:rsidRDefault="00D33C77" w:rsidP="00AE689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</w:t>
      </w:r>
      <w:r w:rsidR="0007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публикования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0F4" w:rsidRDefault="00D87A2F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D87A2F" w:rsidRPr="00D87A2F" w:rsidRDefault="00B530F4" w:rsidP="00B530F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7A2F"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О.И.Березнева</w:t>
      </w:r>
      <w:proofErr w:type="spellEnd"/>
      <w:r w:rsidR="00D87A2F"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1EEC" w:rsidRDefault="00AA1EEC"/>
    <w:sectPr w:rsidR="00A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1"/>
    <w:rsid w:val="00070876"/>
    <w:rsid w:val="00075A5B"/>
    <w:rsid w:val="001D158F"/>
    <w:rsid w:val="001E7036"/>
    <w:rsid w:val="002F448B"/>
    <w:rsid w:val="00434BC7"/>
    <w:rsid w:val="004B1BFC"/>
    <w:rsid w:val="004D2204"/>
    <w:rsid w:val="004D4C7B"/>
    <w:rsid w:val="005C1678"/>
    <w:rsid w:val="006A2F12"/>
    <w:rsid w:val="007A4A31"/>
    <w:rsid w:val="00895AFA"/>
    <w:rsid w:val="008B0F7D"/>
    <w:rsid w:val="008E686A"/>
    <w:rsid w:val="00A325E4"/>
    <w:rsid w:val="00AA1EEC"/>
    <w:rsid w:val="00AE6893"/>
    <w:rsid w:val="00B02443"/>
    <w:rsid w:val="00B530F4"/>
    <w:rsid w:val="00C53D0B"/>
    <w:rsid w:val="00D33C77"/>
    <w:rsid w:val="00D52EF0"/>
    <w:rsid w:val="00D87A2F"/>
    <w:rsid w:val="00E66D71"/>
    <w:rsid w:val="00E81C75"/>
    <w:rsid w:val="00E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87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7A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A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87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7A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A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05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2981276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84367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194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08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722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5965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871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8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dcterms:created xsi:type="dcterms:W3CDTF">2022-04-26T10:31:00Z</dcterms:created>
  <dcterms:modified xsi:type="dcterms:W3CDTF">2022-05-26T06:32:00Z</dcterms:modified>
</cp:coreProperties>
</file>